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118</w:t>
      </w:r>
    </w:p>
    <w:p>
      <w:r>
        <w:t>Bundesgericht (BGE), 1993-01-01, FR</w:t>
      </w:r>
    </w:p>
    <w:p>
      <w:r>
        <w:rPr>
          <w:b/>
        </w:rPr>
        <w:t xml:space="preserve">Quelle: </w:t>
      </w:r>
      <w:r>
        <w:t>https://mcp.opencaselaw.ch/entscheid/bge_119 III 118</w:t>
      </w:r>
    </w:p>
    <w:p>
      <w:r>
        <w:t>FR: ATF 119 III 118</w:t>
      </w:r>
    </w:p>
    <w:p>
      <w:r>
        <w:t>IT: DTF 119 III 118</w:t>
      </w:r>
    </w:p>
    <w:p>
      <w:pPr>
        <w:pStyle w:val="Heading2"/>
      </w:pPr>
      <w:r>
        <w:t>Regeste</w:t>
      </w:r>
    </w:p>
    <w:p>
      <w:r>
        <w:t>Regeste Konkursverfahren; Abberufung eines Mitgliedes des nach Art. 237 Abs. 3 SchKG eingesetzten Gläubigerausschusses. 1. Keine Beschwerdelegitimation eines Mitglieds des Gläubigerausschusses: Einerseits ist seine Befugnis, als Gläubigervertreter zu handeln, nicht ausgewiesen, anderseits kann es wegen des Kollegialprinzips als Mitglied des Gläubigerausschusses nicht allein auftreten (E. 1). 2. Prüfungsbefugnis der kantonalen Aufsichtsbehörde und des Bundesgerichts bezüglich der Bestellung des Gläubigerausschusses. Im vorliegenden Fall hat die kantonale Aufsichtsbehörde das ihr zustehende Ermessen weder überschritten noch missbraucht, indem sie ein Mitglied des Gläubigerausschusses wegen Missachtung des Kollegialprinzips und vorsätzlicher Verletzung der Schweigepflicht abgesetzt hat (E. 4).</w:t>
      </w:r>
    </w:p>
    <w:p>
      <w:pPr>
        <w:pStyle w:val="Heading2"/>
      </w:pPr>
      <w:r>
        <w:t>Erwägungen</w:t>
      </w:r>
    </w:p>
    <w:p>
      <w:r>
        <w:rPr>
          <w:b/>
        </w:rPr>
        <w:t>E. 1</w:t>
      </w:r>
    </w:p>
    <w:p>
      <w:r>
        <w:t>L'autorité cantonale de surveillance a déclaré la plainte de K. irrecevable aussi bien en tant que celui-ci prétendait agir comme représentant des créanciers de X. Holding que dans la mesure où il se fondait sur sa qualité de membre individuel de la commission de surveillance. a) Selon les constatations de l'autorité cantonale, qui lient en principe le Tribunal fédéral ( art. 63 al. 2 OJ applicable par analogie en vertu du renvoi de l'art. 81 de la même loi), le recourant s'est borné à déclarer, lors de la première assemblée des créanciers du 17 février, qu'il représentait un seul obligataire; sa plainte du 28 avril n'a pas apporté de précisions sur ce point; sa réponse en instance cantonale mentionnait qu'il avait reçu un "mandat supplémentaire" d'un créancier "particulièrement engagé" (Z.). Cela étant, l'autorité cantonale a retenu que K. avait uniquement établi représenter les intérêts de l'obligataire Z. dans la faillite de X. Holding; la procuration produite ne faisant nullement état de la procédure pendante, le plaignant ne pouvait être considéré comme agissant pour le compte dudit obligataire. Au demeurant, quand bien même cette procuration aurait couvert la procédure de plainte, la recevabilité de celle-ci n'en restait pas moins douteuse, car la plainte n'était pas dirigée contre une mesure de l'administration de la faillite affectant les intérêts, de droit et de fait, de Z. L'autorité cantonale s'est appuyée à cet égard sur la doctrine (P.-R. GILLIÉRON, Poursuite pour dettes, faillite et concordat, 3e éd., Lausanne 1993, p. 56). Sur ce point, le recourant ne démontre nullement en quoi consisterait la prétendue violation du droit fédéral (cf. art. 79 al. 1 OJ ). Son grief de violation de l' art. 4 Cst. est d'emblée irrecevable car, conformément à l' art. 43 al. 1 OJ , applicable par renvoi de l' art. 81 OJ , une éventuelle violation d'un droit constitutionnel ne peut être invoquée que dans un recours de droit public ( ATF 113 III 88 , ATF 107 III 12 consid. 1). Le fait que K. aurait aussi agi personnellement en qualité de créancier est nouveau et, comme tel, irrecevable en vertu de l' art. 79 al. 1 OJ . Il repose notamment sur un courrier postérieur à la décision attaquée; le recourant admet par ailleurs qu'il aurait pu être révélé "auparavant", devant l'autorité cantonale de surveillance. Les conclusions qu'il tire de sa prétendue qualité de créancier n'ont dès lors pas à être examinées. b) L'autorité cantonale a soigneusement et clairement expliqué pourquoi le plaignant n'avait pas qualité pour agir comme membre BGE 119 III 118 S. 122 individuel de la commission de surveillance. Elle s'est fondée pour cela sur la jurisprudence et la doctrine, qui soulignent le caractère collégial de la commission de surveillance, dont les compétences appartiennent à l'organe compris comme un tout ( ATF 51 III 163 ; BRIGIT HÄNZI, Die Konkursverwaltung nach schweizerischem Recht, thèse Zurich 1979, p. 63) et qui ne peut agir que comme une communauté conjointe, ses membres séparément n'ayant aucun droit de s'immiscer dans la gestion de l'administration de la masse (C. JAEGER, Commentaire de la LP, n. 9 ad art. 237), sous réserve d'une délégation de pouvoirs de la collectivité ( ATF 40 III 228 ). L'argument essentiel invoqué par le recourant à l'encontre de ce point de vue est qu'il est lui-même créancier et qu'en cette qualité il pouvait se plaindre du tarif horaire accordé aux membres de l'administration spéciale et de l'absence de rémunération pour les membres de la commission de surveillance. Le moyen reposant sur un fait nouveau irrecevable (cf. consid. a in fine ci-dessus), il n'y a pas lieu de s'y arrêter davantage. Au reste, l'exposé de l'autorité cantonale sur la question est convaincant et l'on peut y renvoyer ( art. 36a al. 3 OJ ), notamment en ce qui concerne la différence qu'il y a lieu de faire par rapport à l' ATF 51 III 163 , où le Tribunal fédéral a certes reconnu à chaque membre de la commission le droit de porter plainte, mais contre des actes d'administration qui, bien que nécessitant le concours de ladite commission, avaient été accomplis sans le consentement de celle-ci ou sans que le membre plaignant ait eu son mot à dire. Une telle hypothèse n'était pas réalisée dans la présente espèce.</w:t>
      </w:r>
    </w:p>
    <w:p>
      <w:r>
        <w:rPr>
          <w:b/>
        </w:rPr>
        <w:t>E. 4</w:t>
      </w:r>
    </w:p>
    <w:p>
      <w:r>
        <w:t>Lorsqu'elle statue sur un recours ou, comme en l'espèce, sur une dénonciation concernant la désignation et la composition de la commission de surveillance, l'autorité de surveillance doit revoir ces questions du point de vue de l'opportunité et substituer, le cas échéant, sa propre appréciation à celle de l'assemblée des créanciers. Le Tribunal fédéral ne peut que rechercher si l'autorité de surveillance a, sur ce point, excédé son pouvoir d'appréciation ou si elle en a abusé ( ATF 97 III 126 consid. 5). Selon les constatations de la décision attaquée, K. a pris de sa propre initiative, alors qu'il était lié par l'obligation de collégialité, des contacts avec plusieurs créanciers de la masse en faillite de X. Holding, en particulier avec un établissement bancaire (C.) ayant avec X. Holding des relations "délicates"; à cet effet, il s'est prévalu de façon ambiguë de sa qualité de membre de la commission de surveillance; à un autre établissement (banque W.), il a "proposé sa collaboration dans le contexte de la faillite de X. Holding". D'autres BGE 119 III 118 S. 123 faits démontraient encore que K. faisait fi du principe de la collégialité de la commission de surveillance. Il avait par ailleurs fait part de son intention de persister dans la voie qu'il avait ouverte, soit de se mettre en rapport avec les créanciers "afin qu'ils puissent se déterminer sur la façon dont leurs intérêts (étaient) traités". De surcroît, K. s'était déclaré soumis au devoir de discrétion propre à un organe compétent en matière d'exécution forcée et exerçant des charges publiques; il s'était engagé à ne pas utiliser à des fins propres ou divulguer des informations ou documents qu'il pourrait avoir reçus en sa qualité de membre de la commission de surveillance (lettre de l'administration spéciale du 30 mars 1993); ne prétendant nullement avoir contresigné celle-ci sous l'empire d'une contrainte ou avoir été victime d'un autre vice de volonté, il devait être considéré comme lié par son engagement; or il avait délibérément violé son obligation de discrétion en communiquant à la banque W. le texte de la dénonciation de l'administration spéciale et en intervenant auprès d'un autre établissement bancaire (Y.) à propos d'une éventuelle participation de celui-ci à la rémunération de la commission de surveillance (recte: participation "aux frais de l'association des créanciers qu'il disait représenter"). En retenant, dans ces circonstances, que K. avait gravement manqué aux devoirs liés à sa position de membre de la commission de surveillance et que sa révocation paraissait non seulement opportune mais encore nécessaire, l'autorité cantonale de surveillance n'a commis ni excès ni abus de son pouvoir d'appréciation. Le recourant n'en fait en tout cas pas la démonstration. Que la réponse de l'établissement bancaire Y. ne parle pas expressément de la commission de surveillance, mais simplement de "l'association des créanciers" que K. disait représenter, n'est pas de nature à conduire à d'autres conclusions, compte tenu du flou de la requête de celui-ci, l'auteur de la réponse avouant n'en avoir "pas exactement saisi l'objet", et du fait que les termes utilisés dans le contexte de ladite réponse pouvaient très bien faire penser à la commission de surveillance ("der Gläubigerausschuss, la delegazione dei creditori"). Quoi qu'il en soit, la démarche auprès de l'établissement bancaire Y. n'a pas été jugée décisive à elle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